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E35F" w14:textId="17CA91F0" w:rsidR="00441964" w:rsidRPr="007E2D2F" w:rsidRDefault="00406016">
      <w:pPr>
        <w:rPr>
          <w:rFonts w:ascii="Univers Condensed" w:hAnsi="Univers Condensed"/>
          <w:sz w:val="96"/>
        </w:rPr>
      </w:pPr>
      <w:r w:rsidRPr="007E2D2F">
        <w:rPr>
          <w:rFonts w:ascii="Univers Condensed" w:hAnsi="Univers Condensed"/>
          <w:sz w:val="96"/>
        </w:rPr>
        <w:t>got research?</w:t>
      </w:r>
      <w:r w:rsidRPr="007E2D2F">
        <w:rPr>
          <w:rFonts w:ascii="Univers Condensed" w:hAnsi="Univers Condensed"/>
          <w:sz w:val="96"/>
        </w:rPr>
        <w:tab/>
      </w:r>
      <w:r w:rsidR="000A70B4">
        <w:rPr>
          <w:rFonts w:ascii="Univers Condensed" w:hAnsi="Univers Condensed"/>
          <w:sz w:val="96"/>
        </w:rPr>
        <w:t xml:space="preserve"> </w:t>
      </w:r>
      <w:r w:rsidRPr="007E2D2F">
        <w:rPr>
          <w:rFonts w:ascii="Univers Condensed" w:hAnsi="Univers Condensed"/>
          <w:color w:val="FFC000"/>
          <w:sz w:val="96"/>
        </w:rPr>
        <w:t>405.</w:t>
      </w:r>
      <w:r w:rsidR="007A5818">
        <w:rPr>
          <w:rFonts w:ascii="Univers Condensed" w:hAnsi="Univers Condensed"/>
          <w:color w:val="FFC000"/>
          <w:sz w:val="96"/>
        </w:rPr>
        <w:t>773-6613</w:t>
      </w:r>
    </w:p>
    <w:p w14:paraId="156493D7" w14:textId="064AE7B1" w:rsidR="00406016" w:rsidRPr="001D494B" w:rsidRDefault="00D1127E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600B61D5" w14:textId="564C3B29" w:rsidR="00406016" w:rsidRPr="00EF342E" w:rsidRDefault="00406016">
      <w:pPr>
        <w:rPr>
          <w:sz w:val="48"/>
          <w:szCs w:val="48"/>
        </w:rPr>
      </w:pPr>
      <w:r w:rsidRPr="004F3304">
        <w:rPr>
          <w:sz w:val="40"/>
        </w:rPr>
        <w:sym w:font="Wingdings 3" w:char="F075"/>
      </w:r>
      <w:r w:rsidR="00C9487E" w:rsidRPr="00962AB9">
        <w:rPr>
          <w:rFonts w:ascii="Arial Narrow" w:hAnsi="Arial Narrow"/>
          <w:sz w:val="56"/>
        </w:rPr>
        <w:t xml:space="preserve">ICIO SMC </w:t>
      </w:r>
      <w:r w:rsidR="007564FF" w:rsidRPr="00962AB9">
        <w:rPr>
          <w:rFonts w:ascii="Arial Narrow" w:hAnsi="Arial Narrow"/>
          <w:sz w:val="56"/>
        </w:rPr>
        <w:t>s</w:t>
      </w:r>
      <w:r w:rsidRPr="00962AB9">
        <w:rPr>
          <w:rFonts w:ascii="Arial Narrow" w:hAnsi="Arial Narrow"/>
          <w:sz w:val="56"/>
        </w:rPr>
        <w:t>tud</w:t>
      </w:r>
      <w:r w:rsidR="007564FF" w:rsidRPr="00962AB9">
        <w:rPr>
          <w:rFonts w:ascii="Arial Narrow" w:hAnsi="Arial Narrow"/>
          <w:sz w:val="56"/>
        </w:rPr>
        <w:t>y description</w:t>
      </w:r>
      <w:r w:rsidR="00D51DF1">
        <w:rPr>
          <w:sz w:val="56"/>
        </w:rPr>
        <w:t xml:space="preserve"> </w:t>
      </w:r>
      <w:r w:rsidR="00206033">
        <w:rPr>
          <w:sz w:val="56"/>
        </w:rPr>
        <w:t xml:space="preserve">May </w:t>
      </w:r>
      <w:r w:rsidR="00A76A82">
        <w:rPr>
          <w:sz w:val="56"/>
        </w:rPr>
        <w:t>2024</w:t>
      </w:r>
    </w:p>
    <w:tbl>
      <w:tblPr>
        <w:tblStyle w:val="TableGrid"/>
        <w:tblpPr w:leftFromText="180" w:rightFromText="180" w:vertAnchor="text" w:horzAnchor="margin" w:tblpY="76"/>
        <w:tblW w:w="10790" w:type="dxa"/>
        <w:tblLook w:val="04A0" w:firstRow="1" w:lastRow="0" w:firstColumn="1" w:lastColumn="0" w:noHBand="0" w:noVBand="1"/>
      </w:tblPr>
      <w:tblGrid>
        <w:gridCol w:w="1398"/>
        <w:gridCol w:w="1675"/>
        <w:gridCol w:w="4275"/>
        <w:gridCol w:w="1371"/>
        <w:gridCol w:w="1544"/>
        <w:gridCol w:w="527"/>
      </w:tblGrid>
      <w:tr w:rsidR="00016694" w14:paraId="4FDA57EB" w14:textId="77777777" w:rsidTr="002F7B09">
        <w:trPr>
          <w:trHeight w:val="432"/>
        </w:trPr>
        <w:tc>
          <w:tcPr>
            <w:tcW w:w="1398" w:type="dxa"/>
            <w:shd w:val="clear" w:color="auto" w:fill="FF7C80"/>
            <w:vAlign w:val="center"/>
          </w:tcPr>
          <w:p w14:paraId="492AC278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STUDY NAME</w:t>
            </w:r>
          </w:p>
        </w:tc>
        <w:tc>
          <w:tcPr>
            <w:tcW w:w="1675" w:type="dxa"/>
            <w:shd w:val="clear" w:color="auto" w:fill="FF7C80"/>
            <w:vAlign w:val="center"/>
          </w:tcPr>
          <w:p w14:paraId="0873591A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DZ SITE</w:t>
            </w:r>
          </w:p>
        </w:tc>
        <w:tc>
          <w:tcPr>
            <w:tcW w:w="4275" w:type="dxa"/>
            <w:shd w:val="clear" w:color="auto" w:fill="FF7C80"/>
            <w:vAlign w:val="center"/>
          </w:tcPr>
          <w:p w14:paraId="4C2DF650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STUDY Description</w:t>
            </w:r>
          </w:p>
        </w:tc>
        <w:tc>
          <w:tcPr>
            <w:tcW w:w="2915" w:type="dxa"/>
            <w:gridSpan w:val="2"/>
            <w:shd w:val="clear" w:color="auto" w:fill="FF7C80"/>
            <w:vAlign w:val="center"/>
          </w:tcPr>
          <w:p w14:paraId="1A4F39ED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DESIGN</w:t>
            </w:r>
          </w:p>
        </w:tc>
        <w:tc>
          <w:tcPr>
            <w:tcW w:w="527" w:type="dxa"/>
            <w:shd w:val="clear" w:color="auto" w:fill="FF7C80"/>
            <w:vAlign w:val="center"/>
          </w:tcPr>
          <w:p w14:paraId="6C6DEAEC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# PTS</w:t>
            </w:r>
          </w:p>
        </w:tc>
      </w:tr>
      <w:tr w:rsidR="00016694" w:rsidRPr="00563FA7" w14:paraId="2772F05B" w14:textId="77777777" w:rsidTr="002F7B09">
        <w:trPr>
          <w:cantSplit/>
          <w:trHeight w:val="1967"/>
        </w:trPr>
        <w:tc>
          <w:tcPr>
            <w:tcW w:w="1398" w:type="dxa"/>
            <w:shd w:val="clear" w:color="auto" w:fill="FFFFFF" w:themeFill="background1"/>
            <w:vAlign w:val="center"/>
          </w:tcPr>
          <w:p w14:paraId="6DBFCE02" w14:textId="537AA9E0" w:rsidR="00016694" w:rsidRPr="003149C7" w:rsidRDefault="0070780D" w:rsidP="0070780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902A8">
              <w:rPr>
                <w:rFonts w:ascii="Arial Narrow" w:hAnsi="Arial Narrow"/>
                <w:b/>
                <w:bCs/>
                <w:sz w:val="18"/>
                <w:szCs w:val="18"/>
              </w:rPr>
              <w:t>A011801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2417556A" w14:textId="77777777" w:rsidR="0070780D" w:rsidRPr="000902A8" w:rsidRDefault="0070780D" w:rsidP="007078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902A8">
              <w:rPr>
                <w:rFonts w:ascii="Arial Narrow" w:hAnsi="Arial Narrow"/>
                <w:sz w:val="18"/>
                <w:szCs w:val="18"/>
              </w:rPr>
              <w:t>HER2 + Breast</w:t>
            </w:r>
          </w:p>
          <w:p w14:paraId="724F1597" w14:textId="2E347D94" w:rsidR="00016694" w:rsidRPr="009F77BA" w:rsidRDefault="0070780D" w:rsidP="0070780D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sz w:val="18"/>
                <w:szCs w:val="18"/>
              </w:rPr>
              <w:t>Can be either ER/PR + or -</w:t>
            </w:r>
          </w:p>
        </w:tc>
        <w:tc>
          <w:tcPr>
            <w:tcW w:w="4275" w:type="dxa"/>
            <w:shd w:val="clear" w:color="auto" w:fill="FFFFFF" w:themeFill="background1"/>
          </w:tcPr>
          <w:p w14:paraId="2DC457A3" w14:textId="77777777" w:rsidR="0070780D" w:rsidRDefault="0070780D" w:rsidP="0070780D">
            <w:pPr>
              <w:pStyle w:val="Default"/>
              <w:spacing w:before="120" w:after="120"/>
              <w:ind w:right="8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The COMPASSHER2 Trials (Comprehensive use of Pathologic Response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ASSessment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to Optimize Therapy In HER2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Postive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Breast Cancer):   COMPASSHER2 Residual Disease (RD); A Double-Blinded, Phase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III  Randomized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Trial of T-DM1 and Placebo Compared with T-DM1 and Tucatinib</w:t>
            </w:r>
          </w:p>
          <w:p w14:paraId="6062C49C" w14:textId="77777777" w:rsidR="0070780D" w:rsidRDefault="0070780D" w:rsidP="0070780D">
            <w:pPr>
              <w:pStyle w:val="Default"/>
              <w:spacing w:before="120" w:after="120"/>
              <w:ind w:right="86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ED52A1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Must have completed at least 6 cycles of chemotherapy preoperatively or postoperatively </w:t>
            </w:r>
          </w:p>
          <w:p w14:paraId="5EFC2D3A" w14:textId="4264C553" w:rsidR="00016694" w:rsidRPr="00DA631B" w:rsidRDefault="00016694" w:rsidP="0070780D">
            <w:pPr>
              <w:pStyle w:val="Default"/>
              <w:spacing w:line="264" w:lineRule="auto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ED7DF1E" w14:textId="77777777" w:rsidR="0070780D" w:rsidRDefault="0070780D" w:rsidP="0070780D">
            <w:pPr>
              <w:rPr>
                <w:rFonts w:ascii="Arial Narrow" w:hAnsi="Arial Narrow"/>
                <w:sz w:val="18"/>
                <w:szCs w:val="18"/>
              </w:rPr>
            </w:pPr>
            <w:r w:rsidRPr="00ED52A1">
              <w:rPr>
                <w:rFonts w:ascii="Arial Narrow" w:hAnsi="Arial Narrow"/>
                <w:b/>
                <w:bCs/>
                <w:sz w:val="18"/>
                <w:szCs w:val="18"/>
              </w:rPr>
              <w:t>ARM 1</w:t>
            </w:r>
            <w:r>
              <w:rPr>
                <w:rFonts w:ascii="Arial Narrow" w:hAnsi="Arial Narrow"/>
                <w:sz w:val="18"/>
                <w:szCs w:val="18"/>
              </w:rPr>
              <w:t>- T-DMM1 and placebo x 14 cycles</w:t>
            </w:r>
          </w:p>
          <w:p w14:paraId="447A8F6A" w14:textId="3540DD91" w:rsidR="00016694" w:rsidRPr="00DA631B" w:rsidRDefault="00016694" w:rsidP="000166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3C10AD92" w14:textId="1B765049" w:rsidR="00016694" w:rsidRPr="00DA631B" w:rsidRDefault="0070780D" w:rsidP="000166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52A1">
              <w:rPr>
                <w:rFonts w:ascii="Arial Narrow" w:hAnsi="Arial Narrow"/>
                <w:b/>
                <w:bCs/>
                <w:sz w:val="18"/>
                <w:szCs w:val="18"/>
              </w:rPr>
              <w:t>ARM 1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T-DM1 and tucatinib x 14 cycles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6DF815E" w14:textId="77777777" w:rsidR="00016694" w:rsidRPr="00563FA7" w:rsidRDefault="00016694" w:rsidP="00016694">
            <w:pPr>
              <w:jc w:val="center"/>
              <w:rPr>
                <w:rFonts w:ascii="Arial Narrow" w:hAnsi="Arial Narrow"/>
                <w:sz w:val="20"/>
              </w:rPr>
            </w:pPr>
            <w:r w:rsidRPr="00563FA7">
              <w:rPr>
                <w:rFonts w:ascii="Arial Narrow" w:hAnsi="Arial Narrow"/>
                <w:sz w:val="20"/>
              </w:rPr>
              <w:t>0</w:t>
            </w:r>
          </w:p>
        </w:tc>
      </w:tr>
      <w:tr w:rsidR="00022B54" w:rsidRPr="00563FA7" w14:paraId="002ECCEE" w14:textId="77777777" w:rsidTr="002F7B09">
        <w:trPr>
          <w:cantSplit/>
          <w:trHeight w:val="1697"/>
        </w:trPr>
        <w:tc>
          <w:tcPr>
            <w:tcW w:w="1398" w:type="dxa"/>
            <w:shd w:val="clear" w:color="auto" w:fill="FFFFFF" w:themeFill="background1"/>
            <w:vAlign w:val="center"/>
          </w:tcPr>
          <w:p w14:paraId="2D6C4BEA" w14:textId="5F482046" w:rsidR="00022B54" w:rsidRPr="000902A8" w:rsidRDefault="00022B54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NRG-GI008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57EFFCD3" w14:textId="77777777" w:rsidR="00022B54" w:rsidRDefault="00022B54" w:rsidP="00556C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Stage IIA Colon Cancer</w:t>
            </w:r>
          </w:p>
          <w:p w14:paraId="502FDBBD" w14:textId="77777777" w:rsidR="002F7B09" w:rsidRPr="002F7B09" w:rsidRDefault="002F7B09" w:rsidP="00556CBA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2EA90F66" w14:textId="26077F09" w:rsidR="002F7B09" w:rsidRPr="000902A8" w:rsidRDefault="002F7B09" w:rsidP="00556C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7B09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Natera Kits provided by the Study </w:t>
            </w:r>
          </w:p>
        </w:tc>
        <w:tc>
          <w:tcPr>
            <w:tcW w:w="4275" w:type="dxa"/>
            <w:shd w:val="clear" w:color="auto" w:fill="FFFFFF" w:themeFill="background1"/>
          </w:tcPr>
          <w:p w14:paraId="191C4019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Colon Adjuvant Chemotherapy based on Evaluation of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Residucal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Disease (Circulate-US)  </w:t>
            </w:r>
          </w:p>
          <w:p w14:paraId="6BD3AE0F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44656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Cohort B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ctDNA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positive</w:t>
            </w:r>
          </w:p>
          <w:p w14:paraId="32C97162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8C78AD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Stratification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– Intended Chemo (5 FU vs. Xeloda)</w:t>
            </w:r>
          </w:p>
          <w:p w14:paraId="750F80DC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 w:rsidRPr="008C78AD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Randomization</w:t>
            </w:r>
          </w:p>
          <w:p w14:paraId="6ECF63F7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14:paraId="253AF83D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Arm 3 –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mFOLFOX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6 or CAPOX for 6 months</w:t>
            </w:r>
          </w:p>
          <w:p w14:paraId="26C08928" w14:textId="6251F93A" w:rsidR="00022B54" w:rsidRPr="00B4061C" w:rsidRDefault="00022B54" w:rsidP="00022B54">
            <w:pPr>
              <w:pStyle w:val="Default"/>
              <w:spacing w:after="120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A4m 4 –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mFOLFIRINOX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for 6 months</w:t>
            </w:r>
          </w:p>
        </w:tc>
        <w:tc>
          <w:tcPr>
            <w:tcW w:w="1371" w:type="dxa"/>
            <w:shd w:val="clear" w:color="auto" w:fill="FFFFFF" w:themeFill="background1"/>
          </w:tcPr>
          <w:p w14:paraId="7FD8BD9C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Cohort A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ctDNA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-neg</w:t>
            </w:r>
          </w:p>
          <w:p w14:paraId="38EF09BA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Stratification- Stage IIIA vs IIIB</w:t>
            </w:r>
          </w:p>
          <w:p w14:paraId="4554E861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Intended chemo (5FU vs. Xeloda)</w:t>
            </w:r>
          </w:p>
          <w:p w14:paraId="435A99D9" w14:textId="77777777" w:rsidR="00022B54" w:rsidRDefault="00022B54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338ED06F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After Randomization:</w:t>
            </w:r>
          </w:p>
          <w:p w14:paraId="08DEFD08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1 </w:t>
            </w:r>
            <w:r w:rsidRPr="00B77571">
              <w:rPr>
                <w:rFonts w:ascii="Arial Narrow" w:hAnsi="Arial Narrow"/>
                <w:bCs/>
                <w:sz w:val="18"/>
                <w:szCs w:val="18"/>
              </w:rPr>
              <w:t>FOLFOX6 for 3 – 6 months or CAPOX for 3 months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05CCFD44" w14:textId="6D9DD30D" w:rsidR="00022B54" w:rsidRDefault="00022B54" w:rsidP="00022B5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2 – </w:t>
            </w:r>
            <w:r w:rsidRPr="00B77571">
              <w:rPr>
                <w:rFonts w:ascii="Arial Narrow" w:hAnsi="Arial Narrow"/>
                <w:bCs/>
                <w:sz w:val="18"/>
                <w:szCs w:val="18"/>
              </w:rPr>
              <w:t>Surveillance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41CCE9B" w14:textId="77777777" w:rsidR="00022B54" w:rsidRDefault="00022B54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F5176" w:rsidRPr="00563FA7" w14:paraId="6FD42B2A" w14:textId="77777777" w:rsidTr="002F7B09">
        <w:trPr>
          <w:cantSplit/>
          <w:trHeight w:val="1697"/>
        </w:trPr>
        <w:tc>
          <w:tcPr>
            <w:tcW w:w="1398" w:type="dxa"/>
            <w:shd w:val="clear" w:color="auto" w:fill="FFFFFF" w:themeFill="background1"/>
            <w:vAlign w:val="center"/>
          </w:tcPr>
          <w:p w14:paraId="675A8FAA" w14:textId="0871EBF1" w:rsidR="001F5176" w:rsidRPr="000902A8" w:rsidRDefault="001F5176" w:rsidP="00556CBA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b/>
              </w:rPr>
              <w:t>S2001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18466937" w14:textId="4A9EBEAC" w:rsidR="001F5176" w:rsidRPr="000902A8" w:rsidRDefault="001F5176" w:rsidP="00556C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902A8">
              <w:rPr>
                <w:rFonts w:ascii="Arial Narrow" w:hAnsi="Arial Narrow"/>
                <w:b/>
                <w:sz w:val="20"/>
                <w:szCs w:val="20"/>
              </w:rPr>
              <w:t>Pancreatic</w:t>
            </w:r>
          </w:p>
        </w:tc>
        <w:tc>
          <w:tcPr>
            <w:tcW w:w="4275" w:type="dxa"/>
            <w:shd w:val="clear" w:color="auto" w:fill="FFFFFF" w:themeFill="background1"/>
          </w:tcPr>
          <w:p w14:paraId="3F250A22" w14:textId="77777777" w:rsidR="001F5176" w:rsidRDefault="001F5176" w:rsidP="00016694">
            <w:pPr>
              <w:pStyle w:val="Default"/>
              <w:spacing w:after="120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Randomized Phase II Clinical Trial of Olaparib + Pembrolizumab vs. Olaparib Alone as Maintenance Therapy in Metastatic Pancreatic Cancer Patients with Germline BRCA1 or BRCA2 Mutations.”</w:t>
            </w:r>
          </w:p>
          <w:p w14:paraId="603F3181" w14:textId="7E6E20DB" w:rsidR="001C06C9" w:rsidRPr="001C06C9" w:rsidRDefault="001C06C9" w:rsidP="00016694">
            <w:pPr>
              <w:pStyle w:val="Default"/>
              <w:spacing w:after="120"/>
              <w:ind w:right="8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B425E3A" w14:textId="77777777" w:rsidR="001F5176" w:rsidRDefault="001F5176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Group 1</w:t>
            </w:r>
          </w:p>
          <w:p w14:paraId="735B097C" w14:textId="7F1994F7" w:rsidR="001F5176" w:rsidRPr="001F5176" w:rsidRDefault="001F5176" w:rsidP="000166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F5176">
              <w:rPr>
                <w:rFonts w:cstheme="minorHAnsi"/>
                <w:bCs/>
                <w:sz w:val="18"/>
                <w:szCs w:val="18"/>
              </w:rPr>
              <w:t xml:space="preserve">Olaparib + </w:t>
            </w:r>
            <w:proofErr w:type="spellStart"/>
            <w:r w:rsidRPr="001F5176">
              <w:rPr>
                <w:rFonts w:cstheme="minorHAnsi"/>
                <w:bCs/>
                <w:sz w:val="18"/>
                <w:szCs w:val="18"/>
              </w:rPr>
              <w:t>Pemrolizumab</w:t>
            </w:r>
            <w:proofErr w:type="spellEnd"/>
          </w:p>
        </w:tc>
        <w:tc>
          <w:tcPr>
            <w:tcW w:w="1544" w:type="dxa"/>
            <w:shd w:val="clear" w:color="auto" w:fill="FFFFFF" w:themeFill="background1"/>
          </w:tcPr>
          <w:p w14:paraId="3885C8E6" w14:textId="77777777" w:rsidR="001F5176" w:rsidRDefault="001F5176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Group 2</w:t>
            </w:r>
          </w:p>
          <w:p w14:paraId="0687E245" w14:textId="149106BD" w:rsidR="001F5176" w:rsidRPr="001F5176" w:rsidRDefault="001F5176" w:rsidP="000166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F5176">
              <w:rPr>
                <w:rFonts w:cstheme="minorHAnsi"/>
                <w:bCs/>
                <w:sz w:val="18"/>
                <w:szCs w:val="18"/>
              </w:rPr>
              <w:t>Olaparib Alone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6002D3C" w14:textId="77777777" w:rsidR="001F5176" w:rsidRDefault="001F5176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B333E" w:rsidRPr="00563FA7" w14:paraId="14ED94AB" w14:textId="77777777" w:rsidTr="002F7B09">
        <w:trPr>
          <w:cantSplit/>
          <w:trHeight w:val="1697"/>
        </w:trPr>
        <w:tc>
          <w:tcPr>
            <w:tcW w:w="1398" w:type="dxa"/>
            <w:shd w:val="clear" w:color="auto" w:fill="FFFFFF" w:themeFill="background1"/>
            <w:vAlign w:val="center"/>
          </w:tcPr>
          <w:p w14:paraId="503E66A9" w14:textId="570DAC8E" w:rsidR="001B333E" w:rsidRDefault="00A76A82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S2302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04F5522A" w14:textId="01592162" w:rsidR="001B333E" w:rsidRDefault="00A76A82" w:rsidP="00556C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NSCLC</w:t>
            </w:r>
          </w:p>
        </w:tc>
        <w:tc>
          <w:tcPr>
            <w:tcW w:w="4275" w:type="dxa"/>
            <w:shd w:val="clear" w:color="auto" w:fill="FFFFFF" w:themeFill="background1"/>
          </w:tcPr>
          <w:p w14:paraId="525DD6E5" w14:textId="343398B9" w:rsidR="00276A0C" w:rsidRPr="00B4061C" w:rsidRDefault="00DC625F" w:rsidP="001B333E">
            <w:pPr>
              <w:pStyle w:val="Default"/>
              <w:spacing w:after="120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A Prospective Randomized Study of Ramucirumab +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Pemrbolizumab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vs. standard of care for participants previously treated with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Immnotherapy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for Stage IV or recurrent NSCLC</w:t>
            </w:r>
          </w:p>
        </w:tc>
        <w:tc>
          <w:tcPr>
            <w:tcW w:w="1371" w:type="dxa"/>
            <w:shd w:val="clear" w:color="auto" w:fill="FFFFFF" w:themeFill="background1"/>
          </w:tcPr>
          <w:p w14:paraId="33B49C0B" w14:textId="77777777" w:rsidR="00DC625F" w:rsidRDefault="00DC625F" w:rsidP="00DC625F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  </w:t>
            </w:r>
            <w:r w:rsidRPr="00704F9A">
              <w:rPr>
                <w:rFonts w:ascii="Arial Narrow" w:hAnsi="Arial Narrow"/>
                <w:bCs/>
                <w:sz w:val="18"/>
                <w:szCs w:val="18"/>
              </w:rPr>
              <w:t>Investigator’s SOC</w:t>
            </w:r>
          </w:p>
          <w:p w14:paraId="7509ED86" w14:textId="77777777" w:rsidR="001B333E" w:rsidRDefault="001B333E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18EA21D2" w14:textId="0CD4C9B3" w:rsidR="001B333E" w:rsidRDefault="00DC625F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 </w:t>
            </w:r>
            <w:r w:rsidRPr="00704F9A">
              <w:rPr>
                <w:rFonts w:ascii="Arial Narrow" w:hAnsi="Arial Narrow"/>
                <w:bCs/>
                <w:sz w:val="18"/>
                <w:szCs w:val="18"/>
              </w:rPr>
              <w:t>Ramucirumab + Pembrolizumab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9203DBE" w14:textId="77777777" w:rsidR="001B333E" w:rsidRDefault="001B333E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16694" w:rsidRPr="00563FA7" w14:paraId="63EEC87F" w14:textId="77777777" w:rsidTr="002F7B09">
        <w:trPr>
          <w:cantSplit/>
          <w:trHeight w:val="1153"/>
        </w:trPr>
        <w:tc>
          <w:tcPr>
            <w:tcW w:w="1398" w:type="dxa"/>
            <w:vAlign w:val="center"/>
          </w:tcPr>
          <w:p w14:paraId="6F0DA179" w14:textId="77777777" w:rsidR="00016694" w:rsidRPr="000902A8" w:rsidRDefault="00016694" w:rsidP="00556CBA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b/>
                <w:sz w:val="18"/>
                <w:szCs w:val="18"/>
              </w:rPr>
              <w:t xml:space="preserve">ALCHEMIST </w:t>
            </w:r>
            <w:r w:rsidRPr="000902A8">
              <w:rPr>
                <w:rFonts w:ascii="Arial Narrow" w:hAnsi="Arial Narrow"/>
                <w:b/>
              </w:rPr>
              <w:t>A151216</w:t>
            </w:r>
          </w:p>
        </w:tc>
        <w:tc>
          <w:tcPr>
            <w:tcW w:w="1675" w:type="dxa"/>
            <w:vAlign w:val="center"/>
          </w:tcPr>
          <w:p w14:paraId="78F8987D" w14:textId="77777777" w:rsidR="00016694" w:rsidRPr="000902A8" w:rsidRDefault="00016694" w:rsidP="00556CBA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275" w:type="dxa"/>
          </w:tcPr>
          <w:p w14:paraId="73FEE539" w14:textId="6FF354AE" w:rsidR="00016694" w:rsidRPr="00563FA7" w:rsidRDefault="00016694" w:rsidP="00AE3397">
            <w:pPr>
              <w:spacing w:line="269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9F7026">
              <w:rPr>
                <w:rFonts w:ascii="Arial Narrow" w:hAnsi="Arial Narrow" w:cs="Arial"/>
                <w:i/>
                <w:sz w:val="18"/>
                <w:szCs w:val="18"/>
              </w:rPr>
              <w:t>A Screening Trial fo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 xml:space="preserve">r Genetic Testing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in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 xml:space="preserve"> Patients with </w:t>
            </w:r>
            <w:r w:rsidRPr="00563FA7">
              <w:rPr>
                <w:rFonts w:ascii="Arial Narrow" w:hAnsi="Arial Narrow" w:cs="Arial"/>
                <w:b/>
                <w:i/>
                <w:sz w:val="18"/>
                <w:szCs w:val="18"/>
              </w:rPr>
              <w:t>Stage IB-IIIA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563FA7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Non-Small Cell </w:t>
            </w: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(Non-Squamous) </w:t>
            </w:r>
            <w:r w:rsidRPr="00563FA7">
              <w:rPr>
                <w:rFonts w:ascii="Arial Narrow" w:hAnsi="Arial Narrow" w:cs="Arial"/>
                <w:b/>
                <w:i/>
                <w:sz w:val="18"/>
                <w:szCs w:val="18"/>
              </w:rPr>
              <w:t>Lung Cancer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 xml:space="preserve"> that has been or will be removed by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s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>urgery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.</w:t>
            </w:r>
            <w:r w:rsidR="006E4ED1">
              <w:rPr>
                <w:rFonts w:ascii="Arial Narrow" w:hAnsi="Arial Narrow" w:cs="Arial"/>
                <w:i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</w:t>
            </w:r>
            <w:r w:rsidRPr="006E4ED1">
              <w:rPr>
                <w:rFonts w:ascii="Arial Narrow" w:hAnsi="Arial Narrow" w:cs="Arial"/>
                <w:sz w:val="18"/>
                <w:szCs w:val="18"/>
              </w:rPr>
              <w:t>No neoadjuvant chemo or RT.  No locally advanced or met cancer</w:t>
            </w:r>
            <w:r w:rsidR="00AE3397" w:rsidRPr="006E4ED1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r w:rsidRPr="006E4ED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 xml:space="preserve">If EGFR confirmed </w:t>
            </w:r>
            <w:r w:rsidR="00C9763F" w:rsidRPr="006E4ED1">
              <w:rPr>
                <w:rFonts w:ascii="Arial Narrow" w:hAnsi="Arial Narrow"/>
                <w:sz w:val="18"/>
                <w:szCs w:val="18"/>
                <w:u w:val="single"/>
              </w:rPr>
              <w:t xml:space="preserve">then </w:t>
            </w:r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 xml:space="preserve">enroll </w:t>
            </w:r>
            <w:proofErr w:type="gramStart"/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>in  A</w:t>
            </w:r>
            <w:proofErr w:type="gramEnd"/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>081105</w:t>
            </w:r>
            <w:r w:rsidRPr="006E4ED1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>If ALK+ enroll in E4512</w:t>
            </w:r>
          </w:p>
        </w:tc>
        <w:tc>
          <w:tcPr>
            <w:tcW w:w="2915" w:type="dxa"/>
            <w:gridSpan w:val="2"/>
          </w:tcPr>
          <w:p w14:paraId="14ACB89E" w14:textId="2F063AF7" w:rsidR="00016694" w:rsidRPr="00265E3A" w:rsidRDefault="00016694" w:rsidP="00016694">
            <w:pPr>
              <w:spacing w:after="120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Enroll </w:t>
            </w:r>
            <w:r w:rsidR="00AE3397">
              <w:rPr>
                <w:rFonts w:ascii="Arial Narrow" w:hAnsi="Arial Narrow"/>
                <w:sz w:val="18"/>
                <w:szCs w:val="18"/>
              </w:rPr>
              <w:t>A151216 FIRST</w:t>
            </w:r>
            <w:r w:rsidR="004E7C6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then if EGFR or ALK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positive  will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be assigned to A081105 or E4512.  Specimens collected</w:t>
            </w:r>
            <w:r w:rsidR="00C9763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27" w:type="dxa"/>
            <w:vAlign w:val="center"/>
          </w:tcPr>
          <w:p w14:paraId="41333115" w14:textId="2668B663" w:rsidR="00016694" w:rsidRPr="00563FA7" w:rsidRDefault="00206033" w:rsidP="0001669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</w:tr>
      <w:tr w:rsidR="000467B0" w:rsidRPr="00563FA7" w14:paraId="1D9F13BE" w14:textId="77777777" w:rsidTr="002F7B09">
        <w:trPr>
          <w:cantSplit/>
          <w:trHeight w:val="1130"/>
        </w:trPr>
        <w:tc>
          <w:tcPr>
            <w:tcW w:w="1398" w:type="dxa"/>
            <w:vAlign w:val="center"/>
          </w:tcPr>
          <w:p w14:paraId="5209F210" w14:textId="64F2E86A" w:rsidR="000467B0" w:rsidRPr="000902A8" w:rsidRDefault="000467B0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02A8">
              <w:rPr>
                <w:rFonts w:ascii="Arial Narrow" w:hAnsi="Arial Narrow"/>
                <w:b/>
                <w:sz w:val="18"/>
                <w:szCs w:val="18"/>
              </w:rPr>
              <w:t>A081801</w:t>
            </w:r>
          </w:p>
        </w:tc>
        <w:tc>
          <w:tcPr>
            <w:tcW w:w="1675" w:type="dxa"/>
            <w:vAlign w:val="center"/>
          </w:tcPr>
          <w:p w14:paraId="629837F6" w14:textId="3F53A3A5" w:rsidR="000467B0" w:rsidRPr="000902A8" w:rsidRDefault="000467B0" w:rsidP="00556CBA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275" w:type="dxa"/>
            <w:shd w:val="clear" w:color="auto" w:fill="FFFFFF" w:themeFill="background1"/>
          </w:tcPr>
          <w:p w14:paraId="5626E9CB" w14:textId="77777777" w:rsidR="000467B0" w:rsidRDefault="000467B0" w:rsidP="000467B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NSCLC:  ALCHEMIST-IO</w:t>
            </w:r>
          </w:p>
          <w:p w14:paraId="1F9C40C6" w14:textId="77777777" w:rsidR="000467B0" w:rsidRDefault="000467B0" w:rsidP="000467B0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5C74317C" w14:textId="1B3C8176" w:rsidR="00D07A96" w:rsidRDefault="000467B0" w:rsidP="000467B0">
            <w:pPr>
              <w:pStyle w:val="Default"/>
              <w:spacing w:before="40" w:after="60"/>
              <w:ind w:right="86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Must have EGRF, ALK, PD-LI IHC local testing with no identified arrangements.  Must have completely resected </w:t>
            </w: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dz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IB (&gt;/= 4cm), II or IIIA NSCLC with negative margins Patients with N2 Disease completely resected are eligible.  However, patients with known N2 </w:t>
            </w: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dz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prior to surgery or ineligible. </w:t>
            </w:r>
          </w:p>
          <w:p w14:paraId="04A7C4A4" w14:textId="5378C769" w:rsidR="000467B0" w:rsidRDefault="000467B0" w:rsidP="002A589B">
            <w:pPr>
              <w:pStyle w:val="Default"/>
              <w:spacing w:before="40" w:after="6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BB40B89" w14:textId="77777777" w:rsidR="000467B0" w:rsidRPr="000467B0" w:rsidRDefault="000467B0" w:rsidP="000467B0">
            <w:pPr>
              <w:spacing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</w:t>
            </w:r>
            <w:r w:rsidRPr="000467B0">
              <w:rPr>
                <w:rFonts w:ascii="Arial Narrow" w:hAnsi="Arial Narrow"/>
                <w:sz w:val="18"/>
                <w:szCs w:val="18"/>
              </w:rPr>
              <w:t>4 Cycles of Platinum doublet</w:t>
            </w:r>
          </w:p>
          <w:p w14:paraId="332F8D1D" w14:textId="752B64CD" w:rsidR="000467B0" w:rsidRDefault="000467B0" w:rsidP="000467B0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0467B0">
              <w:rPr>
                <w:rFonts w:ascii="Arial Narrow" w:hAnsi="Arial Narrow"/>
                <w:sz w:val="18"/>
                <w:szCs w:val="18"/>
              </w:rPr>
              <w:t>With Observation afterwards</w:t>
            </w:r>
          </w:p>
        </w:tc>
        <w:tc>
          <w:tcPr>
            <w:tcW w:w="1544" w:type="dxa"/>
            <w:shd w:val="clear" w:color="auto" w:fill="FFFFFF" w:themeFill="background1"/>
          </w:tcPr>
          <w:p w14:paraId="22DEC8D1" w14:textId="77777777" w:rsidR="000467B0" w:rsidRDefault="000467B0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</w:t>
            </w:r>
            <w:r w:rsidRPr="000467B0">
              <w:rPr>
                <w:rFonts w:ascii="Arial Narrow" w:hAnsi="Arial Narrow"/>
                <w:sz w:val="18"/>
                <w:szCs w:val="18"/>
              </w:rPr>
              <w:t>4 Cycles of Platinum doublet with 17 cycles of Keytruda</w:t>
            </w:r>
          </w:p>
          <w:p w14:paraId="42455A97" w14:textId="57CABFC2" w:rsidR="000467B0" w:rsidRPr="00400510" w:rsidRDefault="000467B0" w:rsidP="000467B0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Amr C</w:t>
            </w:r>
            <w:r w:rsidRPr="000467B0">
              <w:rPr>
                <w:rFonts w:ascii="Arial Narrow" w:hAnsi="Arial Narrow"/>
                <w:sz w:val="18"/>
                <w:szCs w:val="18"/>
              </w:rPr>
              <w:t>: 4 Cycles of Platinum doublet + Keytruda with 13 more cycles of Keytruda</w:t>
            </w:r>
          </w:p>
        </w:tc>
        <w:tc>
          <w:tcPr>
            <w:tcW w:w="527" w:type="dxa"/>
            <w:vAlign w:val="center"/>
          </w:tcPr>
          <w:p w14:paraId="79B13083" w14:textId="3D7E64B7" w:rsidR="000467B0" w:rsidRDefault="00206033" w:rsidP="0001669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</w:tr>
      <w:tr w:rsidR="000902A8" w:rsidRPr="00563FA7" w14:paraId="7DBFE1F7" w14:textId="77777777" w:rsidTr="002F7B09">
        <w:trPr>
          <w:cantSplit/>
          <w:trHeight w:val="1130"/>
        </w:trPr>
        <w:tc>
          <w:tcPr>
            <w:tcW w:w="1398" w:type="dxa"/>
            <w:vAlign w:val="center"/>
          </w:tcPr>
          <w:p w14:paraId="49AA8F79" w14:textId="07D40238" w:rsidR="000902A8" w:rsidRPr="006A4CD7" w:rsidRDefault="000902A8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0902A8">
              <w:rPr>
                <w:rFonts w:ascii="Arial Narrow" w:hAnsi="Arial Narrow"/>
                <w:b/>
                <w:sz w:val="18"/>
                <w:szCs w:val="18"/>
              </w:rPr>
              <w:t>EA5182</w:t>
            </w:r>
          </w:p>
        </w:tc>
        <w:tc>
          <w:tcPr>
            <w:tcW w:w="1675" w:type="dxa"/>
            <w:vAlign w:val="center"/>
          </w:tcPr>
          <w:p w14:paraId="2F4EF40B" w14:textId="308DF564" w:rsidR="000902A8" w:rsidRPr="006A4CD7" w:rsidRDefault="000902A8" w:rsidP="00556CBA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0902A8"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275" w:type="dxa"/>
            <w:shd w:val="clear" w:color="auto" w:fill="FFFFFF" w:themeFill="background1"/>
          </w:tcPr>
          <w:p w14:paraId="02F527BC" w14:textId="3163A1F4" w:rsidR="000902A8" w:rsidRPr="000902A8" w:rsidRDefault="000902A8" w:rsidP="000467B0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Randomized Phase III Study of Combination AZD9291 (Osimertinib) and Bevacizumab vs. AZD9291 (Osimertinib) Alone as First Line Treatment for Patients with Metastatic EGRR-Mutant </w:t>
            </w:r>
            <w:proofErr w:type="gramStart"/>
            <w:r>
              <w:rPr>
                <w:rFonts w:ascii="Arial Narrow" w:hAnsi="Arial Narrow" w:cs="Arial"/>
                <w:iCs/>
                <w:sz w:val="18"/>
                <w:szCs w:val="18"/>
              </w:rPr>
              <w:t>Non Small</w:t>
            </w:r>
            <w:proofErr w:type="gram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Cell Lung Cancer (NSCLC)</w:t>
            </w:r>
          </w:p>
        </w:tc>
        <w:tc>
          <w:tcPr>
            <w:tcW w:w="1371" w:type="dxa"/>
            <w:shd w:val="clear" w:color="auto" w:fill="FFFFFF" w:themeFill="background1"/>
          </w:tcPr>
          <w:p w14:paraId="120213B1" w14:textId="12F3FCDA" w:rsidR="000902A8" w:rsidRDefault="000902A8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</w:t>
            </w:r>
            <w:r w:rsidRPr="000902A8">
              <w:rPr>
                <w:rFonts w:ascii="Arial Narrow" w:hAnsi="Arial Narrow"/>
                <w:bCs/>
                <w:sz w:val="18"/>
                <w:szCs w:val="18"/>
              </w:rPr>
              <w:t>Osimertinib 80 mg PO Daily</w:t>
            </w:r>
          </w:p>
        </w:tc>
        <w:tc>
          <w:tcPr>
            <w:tcW w:w="1544" w:type="dxa"/>
            <w:shd w:val="clear" w:color="auto" w:fill="FFFFFF" w:themeFill="background1"/>
          </w:tcPr>
          <w:p w14:paraId="74BA3036" w14:textId="366842F2" w:rsidR="000902A8" w:rsidRDefault="000902A8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Amr B:  </w:t>
            </w:r>
            <w:r w:rsidRPr="000902A8">
              <w:rPr>
                <w:rFonts w:ascii="Arial Narrow" w:hAnsi="Arial Narrow"/>
                <w:bCs/>
                <w:sz w:val="18"/>
                <w:szCs w:val="18"/>
              </w:rPr>
              <w:t>Osimertinib 80 mg Daily; Bevacizumab 15 mg kg IV every 3 weeks</w:t>
            </w:r>
          </w:p>
        </w:tc>
        <w:tc>
          <w:tcPr>
            <w:tcW w:w="527" w:type="dxa"/>
            <w:vAlign w:val="center"/>
          </w:tcPr>
          <w:p w14:paraId="25D88054" w14:textId="77777777" w:rsidR="000902A8" w:rsidRDefault="000902A8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B333E" w:rsidRPr="00563FA7" w14:paraId="5A660921" w14:textId="77777777" w:rsidTr="002F7B09">
        <w:trPr>
          <w:cantSplit/>
          <w:trHeight w:val="1130"/>
        </w:trPr>
        <w:tc>
          <w:tcPr>
            <w:tcW w:w="1398" w:type="dxa"/>
          </w:tcPr>
          <w:p w14:paraId="1457F764" w14:textId="77777777" w:rsidR="002A589B" w:rsidRDefault="002A589B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5E9C915" w14:textId="1EDCB6A7" w:rsidR="001B333E" w:rsidRPr="00E163F5" w:rsidRDefault="002A589B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ZB012-03-002</w:t>
            </w:r>
          </w:p>
        </w:tc>
        <w:tc>
          <w:tcPr>
            <w:tcW w:w="1675" w:type="dxa"/>
          </w:tcPr>
          <w:p w14:paraId="54D41075" w14:textId="02F872CF" w:rsidR="001B333E" w:rsidRDefault="002A589B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Zenas BioPharma</w:t>
            </w:r>
          </w:p>
        </w:tc>
        <w:tc>
          <w:tcPr>
            <w:tcW w:w="4275" w:type="dxa"/>
            <w:shd w:val="clear" w:color="auto" w:fill="FFFFFF" w:themeFill="background1"/>
          </w:tcPr>
          <w:p w14:paraId="66882C92" w14:textId="035AA978" w:rsidR="00276A0C" w:rsidRDefault="002A589B" w:rsidP="00D47323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 xml:space="preserve">A Phase 3, Multicenter, Randomized, Double-Blind, Placebo-Controlled Study, with a Safety and Dose Confirmation Run-In Period, to evaluate the Efficacy and Safety of </w:t>
            </w:r>
            <w:proofErr w:type="spellStart"/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>Obexelimab</w:t>
            </w:r>
            <w:proofErr w:type="spellEnd"/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 xml:space="preserve"> in Patients with Warm </w:t>
            </w:r>
            <w:proofErr w:type="spellStart"/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>Automimmune</w:t>
            </w:r>
            <w:proofErr w:type="spellEnd"/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 xml:space="preserve"> Hemolytic Anemia (Saphire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  <w:tc>
          <w:tcPr>
            <w:tcW w:w="1371" w:type="dxa"/>
            <w:shd w:val="clear" w:color="auto" w:fill="FFFFFF" w:themeFill="background1"/>
          </w:tcPr>
          <w:p w14:paraId="1122D59A" w14:textId="16805393" w:rsidR="001B333E" w:rsidRDefault="00B81E60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Obexelimab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vs. Placebo</w:t>
            </w:r>
          </w:p>
        </w:tc>
        <w:tc>
          <w:tcPr>
            <w:tcW w:w="1544" w:type="dxa"/>
            <w:shd w:val="clear" w:color="auto" w:fill="FFFFFF" w:themeFill="background1"/>
          </w:tcPr>
          <w:p w14:paraId="00693264" w14:textId="22173636" w:rsidR="001B333E" w:rsidRPr="001C5A69" w:rsidRDefault="00B81E60" w:rsidP="00D47323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C:  Open-Label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Obexelimab</w:t>
            </w:r>
            <w:proofErr w:type="spellEnd"/>
          </w:p>
        </w:tc>
        <w:tc>
          <w:tcPr>
            <w:tcW w:w="527" w:type="dxa"/>
          </w:tcPr>
          <w:p w14:paraId="5EBED7B4" w14:textId="77777777" w:rsidR="001B333E" w:rsidRDefault="001B333E" w:rsidP="00D4732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77C14" w:rsidRPr="00563FA7" w14:paraId="35D56E5F" w14:textId="77777777" w:rsidTr="002F7B09">
        <w:trPr>
          <w:cantSplit/>
          <w:trHeight w:val="1130"/>
        </w:trPr>
        <w:tc>
          <w:tcPr>
            <w:tcW w:w="1398" w:type="dxa"/>
          </w:tcPr>
          <w:p w14:paraId="349F1A70" w14:textId="77777777" w:rsidR="00D77C14" w:rsidRDefault="00D77C14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C011C6C" w14:textId="329FB993" w:rsidR="00D77C14" w:rsidRDefault="00D77C14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CVAY736Q12301</w:t>
            </w:r>
          </w:p>
        </w:tc>
        <w:tc>
          <w:tcPr>
            <w:tcW w:w="1675" w:type="dxa"/>
          </w:tcPr>
          <w:p w14:paraId="2519FEC4" w14:textId="77777777" w:rsidR="005A2C72" w:rsidRDefault="005A2C72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  <w:p w14:paraId="61AC3AEB" w14:textId="4873FF67" w:rsidR="00D77C14" w:rsidRDefault="005A2C72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Novartis</w:t>
            </w:r>
          </w:p>
        </w:tc>
        <w:tc>
          <w:tcPr>
            <w:tcW w:w="4275" w:type="dxa"/>
            <w:shd w:val="clear" w:color="auto" w:fill="FFFFFF" w:themeFill="background1"/>
          </w:tcPr>
          <w:p w14:paraId="275D217D" w14:textId="5571D68C" w:rsidR="00D77C14" w:rsidRPr="00B81E60" w:rsidRDefault="005A2C72" w:rsidP="00D47323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A Phase 3 randomized, double-blind study of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ianalumab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(VAY736) vs. Placebo in addition to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eltrombopag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is patients with primary immune thrombocytopenia (ITP) who had an insufficient response or relapsed after first line steroid treatment (VAYHIT2)</w:t>
            </w:r>
          </w:p>
        </w:tc>
        <w:tc>
          <w:tcPr>
            <w:tcW w:w="1371" w:type="dxa"/>
            <w:shd w:val="clear" w:color="auto" w:fill="FFFFFF" w:themeFill="background1"/>
          </w:tcPr>
          <w:p w14:paraId="3ADA8344" w14:textId="2F9BD5B4" w:rsidR="00D77C14" w:rsidRDefault="004A7E16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lanalumab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3mg/kg every 4 weeks (4 doses in total) +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eltrombopag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daily</w:t>
            </w:r>
          </w:p>
        </w:tc>
        <w:tc>
          <w:tcPr>
            <w:tcW w:w="1544" w:type="dxa"/>
            <w:shd w:val="clear" w:color="auto" w:fill="FFFFFF" w:themeFill="background1"/>
          </w:tcPr>
          <w:p w14:paraId="5C6A4954" w14:textId="77777777" w:rsidR="00D77C14" w:rsidRDefault="004A7E16" w:rsidP="00D47323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lanalumab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9mg/kg every 4 weeks +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eltrombopag</w:t>
            </w:r>
            <w:proofErr w:type="spellEnd"/>
          </w:p>
          <w:p w14:paraId="6BEA8CC9" w14:textId="21F9924C" w:rsidR="004A7E16" w:rsidRDefault="004A7E16" w:rsidP="00D47323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C:  Placebo every 4 weeks </w:t>
            </w:r>
          </w:p>
        </w:tc>
        <w:tc>
          <w:tcPr>
            <w:tcW w:w="527" w:type="dxa"/>
          </w:tcPr>
          <w:p w14:paraId="2027E6FE" w14:textId="77777777" w:rsidR="00D77C14" w:rsidRDefault="00D77C14" w:rsidP="00D4732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A7E16" w:rsidRPr="00563FA7" w14:paraId="582A31ED" w14:textId="77777777" w:rsidTr="002F7B09">
        <w:trPr>
          <w:cantSplit/>
          <w:trHeight w:val="1130"/>
        </w:trPr>
        <w:tc>
          <w:tcPr>
            <w:tcW w:w="1398" w:type="dxa"/>
          </w:tcPr>
          <w:p w14:paraId="2D65EA59" w14:textId="4A8AC8B8" w:rsidR="004A7E16" w:rsidRDefault="004A7E16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CVAY736I12301 </w:t>
            </w:r>
          </w:p>
        </w:tc>
        <w:tc>
          <w:tcPr>
            <w:tcW w:w="1675" w:type="dxa"/>
          </w:tcPr>
          <w:p w14:paraId="39DC3206" w14:textId="72486511" w:rsidR="004A7E16" w:rsidRDefault="004A7E16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Novartis</w:t>
            </w:r>
          </w:p>
        </w:tc>
        <w:tc>
          <w:tcPr>
            <w:tcW w:w="4275" w:type="dxa"/>
            <w:shd w:val="clear" w:color="auto" w:fill="FFFFFF" w:themeFill="background1"/>
          </w:tcPr>
          <w:p w14:paraId="4F77D3EA" w14:textId="59829BCB" w:rsidR="004A7E16" w:rsidRDefault="004A7E16" w:rsidP="00D47323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A phase III, randomized, double-blind study of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ianalumab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(VAY736) vs. placebo in addition to first-line corticosteroids in primary immune thrombocytopenia</w:t>
            </w:r>
          </w:p>
        </w:tc>
        <w:tc>
          <w:tcPr>
            <w:tcW w:w="1371" w:type="dxa"/>
            <w:shd w:val="clear" w:color="auto" w:fill="FFFFFF" w:themeFill="background1"/>
          </w:tcPr>
          <w:p w14:paraId="430999A4" w14:textId="555FDEE0" w:rsidR="004A7E16" w:rsidRDefault="004A7E16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lanalumab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3mg/kg every 4 weeks (4 doses in total) + corticosteroids daily</w:t>
            </w:r>
          </w:p>
        </w:tc>
        <w:tc>
          <w:tcPr>
            <w:tcW w:w="1544" w:type="dxa"/>
            <w:shd w:val="clear" w:color="auto" w:fill="FFFFFF" w:themeFill="background1"/>
          </w:tcPr>
          <w:p w14:paraId="6186FD90" w14:textId="25DE10AE" w:rsidR="004A7E16" w:rsidRDefault="004A7E16" w:rsidP="004A7E16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lanalumab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9mg/kg every 4 weeks + corticosteroids daily</w:t>
            </w:r>
          </w:p>
          <w:p w14:paraId="6257F60D" w14:textId="12BA65EA" w:rsidR="004A7E16" w:rsidRDefault="004A7E16" w:rsidP="004A7E16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Arm C:  Placebo every 4 weeks</w:t>
            </w:r>
          </w:p>
        </w:tc>
        <w:tc>
          <w:tcPr>
            <w:tcW w:w="527" w:type="dxa"/>
          </w:tcPr>
          <w:p w14:paraId="638749E1" w14:textId="77777777" w:rsidR="004A7E16" w:rsidRDefault="004A7E16" w:rsidP="00D4732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47323" w:rsidRPr="00563FA7" w14:paraId="697B9892" w14:textId="77777777" w:rsidTr="002F7B09">
        <w:trPr>
          <w:cantSplit/>
          <w:trHeight w:val="1134"/>
        </w:trPr>
        <w:tc>
          <w:tcPr>
            <w:tcW w:w="1398" w:type="dxa"/>
            <w:vAlign w:val="center"/>
          </w:tcPr>
          <w:p w14:paraId="6E27D873" w14:textId="77777777" w:rsidR="00D47323" w:rsidRPr="009F77BA" w:rsidRDefault="00D47323" w:rsidP="00D473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F77BA">
              <w:rPr>
                <w:rFonts w:ascii="Arial Narrow" w:hAnsi="Arial Narrow"/>
                <w:b/>
                <w:sz w:val="20"/>
                <w:szCs w:val="20"/>
              </w:rPr>
              <w:t>CONNECT</w:t>
            </w:r>
          </w:p>
          <w:p w14:paraId="09A7B016" w14:textId="70E93AC0" w:rsidR="00D47323" w:rsidRPr="009F77BA" w:rsidRDefault="00D47323" w:rsidP="00D473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Observation</w:t>
            </w:r>
            <w:r w:rsidRPr="009F77BA">
              <w:rPr>
                <w:rFonts w:ascii="Arial Narrow" w:hAnsi="Arial Narrow"/>
                <w:b/>
                <w:sz w:val="20"/>
                <w:szCs w:val="20"/>
              </w:rPr>
              <w:t xml:space="preserve"> Registry</w:t>
            </w:r>
          </w:p>
        </w:tc>
        <w:tc>
          <w:tcPr>
            <w:tcW w:w="1675" w:type="dxa"/>
            <w:vAlign w:val="center"/>
          </w:tcPr>
          <w:p w14:paraId="011AFCA9" w14:textId="77777777" w:rsidR="00D47323" w:rsidRPr="008E6074" w:rsidRDefault="00D47323" w:rsidP="00D47323">
            <w:pPr>
              <w:jc w:val="center"/>
              <w:rPr>
                <w:rFonts w:ascii="Arial Narrow" w:hAnsi="Arial Narrow"/>
                <w:b/>
              </w:rPr>
            </w:pPr>
            <w:r w:rsidRPr="008E6074">
              <w:rPr>
                <w:rFonts w:ascii="Arial Narrow" w:hAnsi="Arial Narrow"/>
                <w:b/>
              </w:rPr>
              <w:t>MDS/AML</w:t>
            </w:r>
          </w:p>
        </w:tc>
        <w:tc>
          <w:tcPr>
            <w:tcW w:w="4275" w:type="dxa"/>
          </w:tcPr>
          <w:p w14:paraId="035B8982" w14:textId="77777777" w:rsidR="00D47323" w:rsidRPr="00DA631B" w:rsidRDefault="00D47323" w:rsidP="00D47323">
            <w:pPr>
              <w:spacing w:line="264" w:lineRule="auto"/>
              <w:rPr>
                <w:rFonts w:cstheme="minorHAnsi"/>
                <w:sz w:val="18"/>
                <w:szCs w:val="18"/>
              </w:rPr>
            </w:pPr>
            <w:r w:rsidRPr="00DA631B">
              <w:rPr>
                <w:rFonts w:cstheme="minorHAnsi"/>
                <w:sz w:val="18"/>
                <w:szCs w:val="18"/>
              </w:rPr>
              <w:t xml:space="preserve">Newly </w:t>
            </w:r>
            <w:proofErr w:type="gramStart"/>
            <w:r w:rsidRPr="00DA631B">
              <w:rPr>
                <w:rFonts w:cstheme="minorHAnsi"/>
                <w:sz w:val="18"/>
                <w:szCs w:val="18"/>
              </w:rPr>
              <w:t xml:space="preserve">diagnosed  </w:t>
            </w:r>
            <w:r w:rsidRPr="00DA631B">
              <w:rPr>
                <w:rFonts w:cstheme="minorHAnsi"/>
                <w:b/>
                <w:sz w:val="18"/>
                <w:szCs w:val="18"/>
              </w:rPr>
              <w:t>MDS</w:t>
            </w:r>
            <w:proofErr w:type="gramEnd"/>
            <w:r w:rsidRPr="00DA631B">
              <w:rPr>
                <w:rFonts w:cstheme="minorHAnsi"/>
                <w:b/>
                <w:sz w:val="18"/>
                <w:szCs w:val="18"/>
              </w:rPr>
              <w:t xml:space="preserve"> / ICUS / AML</w:t>
            </w:r>
            <w:r w:rsidRPr="00DA631B">
              <w:rPr>
                <w:rFonts w:cstheme="minorHAnsi"/>
                <w:sz w:val="18"/>
                <w:szCs w:val="18"/>
              </w:rPr>
              <w:t xml:space="preserve">    </w:t>
            </w:r>
            <w:r w:rsidRPr="00DA631B">
              <w:rPr>
                <w:rFonts w:cstheme="minorHAnsi"/>
                <w:sz w:val="18"/>
                <w:szCs w:val="18"/>
                <w:u w:val="single"/>
              </w:rPr>
              <w:t xml:space="preserve">&gt; </w:t>
            </w:r>
            <w:r w:rsidRPr="00DA631B">
              <w:rPr>
                <w:rFonts w:cstheme="minorHAnsi"/>
                <w:sz w:val="18"/>
                <w:szCs w:val="18"/>
              </w:rPr>
              <w:t xml:space="preserve">18 </w:t>
            </w:r>
            <w:proofErr w:type="spellStart"/>
            <w:r w:rsidRPr="00DA631B">
              <w:rPr>
                <w:rFonts w:cstheme="minorHAnsi"/>
                <w:sz w:val="18"/>
                <w:szCs w:val="18"/>
              </w:rPr>
              <w:t>yrs</w:t>
            </w:r>
            <w:proofErr w:type="spellEnd"/>
            <w:r w:rsidRPr="00DA631B">
              <w:rPr>
                <w:rFonts w:cstheme="minorHAnsi"/>
                <w:sz w:val="18"/>
                <w:szCs w:val="18"/>
              </w:rPr>
              <w:t xml:space="preserve">   Both genders</w:t>
            </w:r>
          </w:p>
          <w:p w14:paraId="455AC431" w14:textId="50DA23DF" w:rsidR="00D47323" w:rsidRPr="00DA631B" w:rsidRDefault="00D47323" w:rsidP="00D47323">
            <w:pPr>
              <w:spacing w:line="264" w:lineRule="auto"/>
              <w:rPr>
                <w:rFonts w:cstheme="minorHAnsi"/>
                <w:sz w:val="18"/>
                <w:szCs w:val="18"/>
              </w:rPr>
            </w:pPr>
            <w:r w:rsidRPr="00DA631B">
              <w:rPr>
                <w:rFonts w:cstheme="minorHAnsi"/>
                <w:sz w:val="18"/>
                <w:szCs w:val="18"/>
              </w:rPr>
              <w:t>AML=&gt;20% blasts in bone marrow or &lt;20% blasts but with evident recurrent cytogenetic abnormalities.</w:t>
            </w:r>
            <w:r w:rsidRPr="00DA631B">
              <w:rPr>
                <w:rFonts w:cstheme="minorHAnsi"/>
                <w:color w:val="FF0000"/>
                <w:sz w:val="18"/>
                <w:szCs w:val="18"/>
              </w:rPr>
              <w:t xml:space="preserve"> We only have a </w:t>
            </w:r>
            <w:proofErr w:type="gramStart"/>
            <w:r w:rsidRPr="00DA631B">
              <w:rPr>
                <w:rFonts w:cstheme="minorHAnsi"/>
                <w:color w:val="FF0000"/>
                <w:sz w:val="18"/>
                <w:szCs w:val="18"/>
              </w:rPr>
              <w:t>14 day</w:t>
            </w:r>
            <w:proofErr w:type="gramEnd"/>
            <w:r w:rsidRPr="00DA631B">
              <w:rPr>
                <w:rFonts w:cstheme="minorHAnsi"/>
                <w:color w:val="FF0000"/>
                <w:sz w:val="18"/>
                <w:szCs w:val="18"/>
              </w:rPr>
              <w:t xml:space="preserve"> window to consent AFTER patient starts treatment!  </w:t>
            </w:r>
          </w:p>
        </w:tc>
        <w:tc>
          <w:tcPr>
            <w:tcW w:w="2915" w:type="dxa"/>
            <w:gridSpan w:val="2"/>
          </w:tcPr>
          <w:p w14:paraId="4625595A" w14:textId="0A3D395C" w:rsidR="00D47323" w:rsidRPr="00DA631B" w:rsidRDefault="00D47323" w:rsidP="00D47323">
            <w:pPr>
              <w:spacing w:line="264" w:lineRule="auto"/>
              <w:rPr>
                <w:rFonts w:cstheme="minorHAnsi"/>
                <w:sz w:val="20"/>
              </w:rPr>
            </w:pPr>
            <w:r w:rsidRPr="00DA631B">
              <w:rPr>
                <w:rFonts w:cstheme="minorHAnsi"/>
                <w:sz w:val="18"/>
                <w:szCs w:val="18"/>
              </w:rPr>
              <w:t xml:space="preserve">Consent for </w:t>
            </w:r>
            <w:proofErr w:type="gramStart"/>
            <w:r w:rsidRPr="00DA631B">
              <w:rPr>
                <w:rFonts w:cstheme="minorHAnsi"/>
                <w:sz w:val="18"/>
                <w:szCs w:val="18"/>
              </w:rPr>
              <w:t>Questionnaires,  tissue</w:t>
            </w:r>
            <w:proofErr w:type="gramEnd"/>
            <w:r w:rsidRPr="00DA631B">
              <w:rPr>
                <w:rFonts w:cstheme="minorHAnsi"/>
                <w:sz w:val="18"/>
                <w:szCs w:val="18"/>
              </w:rPr>
              <w:t xml:space="preserve">, blood, serum. Must </w:t>
            </w:r>
            <w:proofErr w:type="gramStart"/>
            <w:r w:rsidRPr="00DA631B">
              <w:rPr>
                <w:rFonts w:cstheme="minorHAnsi"/>
                <w:sz w:val="18"/>
                <w:szCs w:val="18"/>
              </w:rPr>
              <w:t>have  available</w:t>
            </w:r>
            <w:proofErr w:type="gramEnd"/>
            <w:r w:rsidRPr="00DA631B">
              <w:rPr>
                <w:rFonts w:cstheme="minorHAnsi"/>
                <w:sz w:val="18"/>
                <w:szCs w:val="18"/>
              </w:rPr>
              <w:t xml:space="preserve"> medical records   Follow std of care.   Bone Marrow Path sent to Central Lab</w:t>
            </w:r>
          </w:p>
        </w:tc>
        <w:tc>
          <w:tcPr>
            <w:tcW w:w="527" w:type="dxa"/>
            <w:vAlign w:val="center"/>
          </w:tcPr>
          <w:p w14:paraId="21E1AB76" w14:textId="596FF6E9" w:rsidR="00D47323" w:rsidRPr="00563FA7" w:rsidRDefault="00D47323" w:rsidP="00D473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</w:tr>
    </w:tbl>
    <w:p w14:paraId="4154EB66" w14:textId="77777777" w:rsidR="00016694" w:rsidRDefault="00016694" w:rsidP="0075398E"/>
    <w:sectPr w:rsidR="00016694" w:rsidSect="003755B2">
      <w:footerReference w:type="default" r:id="rId8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0C2D" w14:textId="77777777" w:rsidR="004627E1" w:rsidRDefault="004627E1" w:rsidP="00840223">
      <w:r>
        <w:separator/>
      </w:r>
    </w:p>
  </w:endnote>
  <w:endnote w:type="continuationSeparator" w:id="0">
    <w:p w14:paraId="00051619" w14:textId="77777777" w:rsidR="004627E1" w:rsidRDefault="004627E1" w:rsidP="0084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FC2F" w14:textId="74363077" w:rsidR="00EB1A37" w:rsidRDefault="00EB1A37">
    <w:pPr>
      <w:pStyle w:val="Footer"/>
    </w:pPr>
    <w:r>
      <w:t>Screening Grid │</w:t>
    </w:r>
    <w:r w:rsidR="00645F15">
      <w:t>Ma</w:t>
    </w:r>
    <w:r w:rsidR="00DA631B">
      <w:t xml:space="preserve">y </w:t>
    </w:r>
    <w:r w:rsidR="00F03D5E">
      <w:t>2020 │ No Changes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85CA" w14:textId="77777777" w:rsidR="004627E1" w:rsidRDefault="004627E1" w:rsidP="00840223">
      <w:r>
        <w:separator/>
      </w:r>
    </w:p>
  </w:footnote>
  <w:footnote w:type="continuationSeparator" w:id="0">
    <w:p w14:paraId="26C13C07" w14:textId="77777777" w:rsidR="004627E1" w:rsidRDefault="004627E1" w:rsidP="0084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6C45"/>
    <w:multiLevelType w:val="hybridMultilevel"/>
    <w:tmpl w:val="EE643392"/>
    <w:lvl w:ilvl="0" w:tplc="1C9855E0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1ED2"/>
    <w:multiLevelType w:val="hybridMultilevel"/>
    <w:tmpl w:val="C6AC43E4"/>
    <w:lvl w:ilvl="0" w:tplc="C236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F48AB"/>
    <w:multiLevelType w:val="hybridMultilevel"/>
    <w:tmpl w:val="FC40BA34"/>
    <w:lvl w:ilvl="0" w:tplc="68CE4510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2AEC"/>
    <w:multiLevelType w:val="hybridMultilevel"/>
    <w:tmpl w:val="BF8A80D2"/>
    <w:lvl w:ilvl="0" w:tplc="6F1E3F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4A34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29E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69E4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6CC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6BA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E61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88C9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C69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8D29C4"/>
    <w:multiLevelType w:val="hybridMultilevel"/>
    <w:tmpl w:val="1F58F96C"/>
    <w:lvl w:ilvl="0" w:tplc="BC7C55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E5854"/>
    <w:multiLevelType w:val="hybridMultilevel"/>
    <w:tmpl w:val="D36C5A4E"/>
    <w:lvl w:ilvl="0" w:tplc="B5786B46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2CD6393"/>
    <w:multiLevelType w:val="hybridMultilevel"/>
    <w:tmpl w:val="CBE81912"/>
    <w:lvl w:ilvl="0" w:tplc="701AFAF2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68715">
    <w:abstractNumId w:val="0"/>
  </w:num>
  <w:num w:numId="2" w16cid:durableId="1688680957">
    <w:abstractNumId w:val="6"/>
  </w:num>
  <w:num w:numId="3" w16cid:durableId="651955664">
    <w:abstractNumId w:val="2"/>
  </w:num>
  <w:num w:numId="4" w16cid:durableId="1348747638">
    <w:abstractNumId w:val="1"/>
  </w:num>
  <w:num w:numId="5" w16cid:durableId="1754663739">
    <w:abstractNumId w:val="3"/>
  </w:num>
  <w:num w:numId="6" w16cid:durableId="2095472975">
    <w:abstractNumId w:val="4"/>
  </w:num>
  <w:num w:numId="7" w16cid:durableId="1452479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6"/>
    <w:rsid w:val="000016E6"/>
    <w:rsid w:val="000022C0"/>
    <w:rsid w:val="00016694"/>
    <w:rsid w:val="00022B54"/>
    <w:rsid w:val="00025996"/>
    <w:rsid w:val="00026E3A"/>
    <w:rsid w:val="000467B0"/>
    <w:rsid w:val="00053AFB"/>
    <w:rsid w:val="000902A8"/>
    <w:rsid w:val="000A70B4"/>
    <w:rsid w:val="000B07C2"/>
    <w:rsid w:val="000B34C1"/>
    <w:rsid w:val="000C2CD0"/>
    <w:rsid w:val="000D182C"/>
    <w:rsid w:val="00110EBC"/>
    <w:rsid w:val="0011632C"/>
    <w:rsid w:val="001202BB"/>
    <w:rsid w:val="00143FE8"/>
    <w:rsid w:val="00156F21"/>
    <w:rsid w:val="0016600C"/>
    <w:rsid w:val="00167007"/>
    <w:rsid w:val="00173F63"/>
    <w:rsid w:val="00176FD5"/>
    <w:rsid w:val="001779AE"/>
    <w:rsid w:val="00184BB0"/>
    <w:rsid w:val="00184D30"/>
    <w:rsid w:val="001B333E"/>
    <w:rsid w:val="001B78B5"/>
    <w:rsid w:val="001C0668"/>
    <w:rsid w:val="001C06C9"/>
    <w:rsid w:val="001D494B"/>
    <w:rsid w:val="001E4896"/>
    <w:rsid w:val="001F5176"/>
    <w:rsid w:val="0020096D"/>
    <w:rsid w:val="0020295C"/>
    <w:rsid w:val="00206033"/>
    <w:rsid w:val="00211106"/>
    <w:rsid w:val="00217F71"/>
    <w:rsid w:val="00222CDD"/>
    <w:rsid w:val="00227A0F"/>
    <w:rsid w:val="002324C9"/>
    <w:rsid w:val="002435C3"/>
    <w:rsid w:val="00245214"/>
    <w:rsid w:val="00252657"/>
    <w:rsid w:val="00262AE9"/>
    <w:rsid w:val="00262DFB"/>
    <w:rsid w:val="00265E3A"/>
    <w:rsid w:val="00276A0C"/>
    <w:rsid w:val="00281C75"/>
    <w:rsid w:val="0029653D"/>
    <w:rsid w:val="002A589B"/>
    <w:rsid w:val="002C6CDC"/>
    <w:rsid w:val="002E1099"/>
    <w:rsid w:val="002E4E66"/>
    <w:rsid w:val="002F51F0"/>
    <w:rsid w:val="002F7B09"/>
    <w:rsid w:val="00300D57"/>
    <w:rsid w:val="0031041E"/>
    <w:rsid w:val="003149C7"/>
    <w:rsid w:val="00316281"/>
    <w:rsid w:val="00337B68"/>
    <w:rsid w:val="003755B2"/>
    <w:rsid w:val="003831AF"/>
    <w:rsid w:val="003B5AE9"/>
    <w:rsid w:val="003C47B8"/>
    <w:rsid w:val="003D73F7"/>
    <w:rsid w:val="003D7E46"/>
    <w:rsid w:val="003E70E5"/>
    <w:rsid w:val="003F5616"/>
    <w:rsid w:val="00400510"/>
    <w:rsid w:val="00403E86"/>
    <w:rsid w:val="00406016"/>
    <w:rsid w:val="0041391F"/>
    <w:rsid w:val="00421F75"/>
    <w:rsid w:val="00441964"/>
    <w:rsid w:val="00445929"/>
    <w:rsid w:val="00450ADA"/>
    <w:rsid w:val="004627E1"/>
    <w:rsid w:val="00466F16"/>
    <w:rsid w:val="0048272D"/>
    <w:rsid w:val="004A7E16"/>
    <w:rsid w:val="004C6310"/>
    <w:rsid w:val="004E792C"/>
    <w:rsid w:val="004E7C66"/>
    <w:rsid w:val="004F0FFE"/>
    <w:rsid w:val="004F3304"/>
    <w:rsid w:val="005053BC"/>
    <w:rsid w:val="005167E5"/>
    <w:rsid w:val="00545497"/>
    <w:rsid w:val="00551646"/>
    <w:rsid w:val="00556CBA"/>
    <w:rsid w:val="00563FA7"/>
    <w:rsid w:val="00575BF4"/>
    <w:rsid w:val="005A2C72"/>
    <w:rsid w:val="005E174C"/>
    <w:rsid w:val="005E63B0"/>
    <w:rsid w:val="005F320E"/>
    <w:rsid w:val="00604768"/>
    <w:rsid w:val="00614D4A"/>
    <w:rsid w:val="0062366D"/>
    <w:rsid w:val="0063684B"/>
    <w:rsid w:val="00645F15"/>
    <w:rsid w:val="00682E97"/>
    <w:rsid w:val="006866C0"/>
    <w:rsid w:val="00687384"/>
    <w:rsid w:val="006A1384"/>
    <w:rsid w:val="006A2587"/>
    <w:rsid w:val="006A4CD7"/>
    <w:rsid w:val="006A5806"/>
    <w:rsid w:val="006C02FA"/>
    <w:rsid w:val="006C6489"/>
    <w:rsid w:val="006E4ED1"/>
    <w:rsid w:val="006E713A"/>
    <w:rsid w:val="0070780D"/>
    <w:rsid w:val="00736087"/>
    <w:rsid w:val="0074403C"/>
    <w:rsid w:val="0075398E"/>
    <w:rsid w:val="007564FF"/>
    <w:rsid w:val="007613D0"/>
    <w:rsid w:val="0076485D"/>
    <w:rsid w:val="00780D11"/>
    <w:rsid w:val="00783247"/>
    <w:rsid w:val="007A190A"/>
    <w:rsid w:val="007A5818"/>
    <w:rsid w:val="007B11C4"/>
    <w:rsid w:val="007E13CD"/>
    <w:rsid w:val="007E2D2F"/>
    <w:rsid w:val="007E6C65"/>
    <w:rsid w:val="007F0FF9"/>
    <w:rsid w:val="00820895"/>
    <w:rsid w:val="00833587"/>
    <w:rsid w:val="00837D01"/>
    <w:rsid w:val="00840223"/>
    <w:rsid w:val="0084215C"/>
    <w:rsid w:val="008549F1"/>
    <w:rsid w:val="008612CA"/>
    <w:rsid w:val="00884A8C"/>
    <w:rsid w:val="008A14B4"/>
    <w:rsid w:val="008B3527"/>
    <w:rsid w:val="008B474E"/>
    <w:rsid w:val="008D2AD6"/>
    <w:rsid w:val="008E5BCC"/>
    <w:rsid w:val="008E6074"/>
    <w:rsid w:val="008F0875"/>
    <w:rsid w:val="009012A1"/>
    <w:rsid w:val="009103F4"/>
    <w:rsid w:val="00915FB6"/>
    <w:rsid w:val="00917BBA"/>
    <w:rsid w:val="00917EAB"/>
    <w:rsid w:val="0092670E"/>
    <w:rsid w:val="009446B7"/>
    <w:rsid w:val="009460C6"/>
    <w:rsid w:val="00953665"/>
    <w:rsid w:val="00962AB9"/>
    <w:rsid w:val="0096458E"/>
    <w:rsid w:val="00965394"/>
    <w:rsid w:val="00967C13"/>
    <w:rsid w:val="00973698"/>
    <w:rsid w:val="009828D2"/>
    <w:rsid w:val="00996738"/>
    <w:rsid w:val="00996886"/>
    <w:rsid w:val="009A26BE"/>
    <w:rsid w:val="009D5D7E"/>
    <w:rsid w:val="009F680B"/>
    <w:rsid w:val="009F7026"/>
    <w:rsid w:val="009F77BA"/>
    <w:rsid w:val="00A15141"/>
    <w:rsid w:val="00A15665"/>
    <w:rsid w:val="00A212A3"/>
    <w:rsid w:val="00A5616F"/>
    <w:rsid w:val="00A71944"/>
    <w:rsid w:val="00A76A82"/>
    <w:rsid w:val="00A7754E"/>
    <w:rsid w:val="00A900BA"/>
    <w:rsid w:val="00A92E98"/>
    <w:rsid w:val="00AA0F43"/>
    <w:rsid w:val="00AB610D"/>
    <w:rsid w:val="00AC671D"/>
    <w:rsid w:val="00AD1ADC"/>
    <w:rsid w:val="00AE3397"/>
    <w:rsid w:val="00AE37E7"/>
    <w:rsid w:val="00AF363D"/>
    <w:rsid w:val="00B0428F"/>
    <w:rsid w:val="00B15739"/>
    <w:rsid w:val="00B2004C"/>
    <w:rsid w:val="00B4061C"/>
    <w:rsid w:val="00B40A44"/>
    <w:rsid w:val="00B41B60"/>
    <w:rsid w:val="00B41D08"/>
    <w:rsid w:val="00B81E60"/>
    <w:rsid w:val="00BA0158"/>
    <w:rsid w:val="00BC0EDB"/>
    <w:rsid w:val="00BC119C"/>
    <w:rsid w:val="00BE6531"/>
    <w:rsid w:val="00BF16A7"/>
    <w:rsid w:val="00C074F3"/>
    <w:rsid w:val="00C240AE"/>
    <w:rsid w:val="00C4078A"/>
    <w:rsid w:val="00C41681"/>
    <w:rsid w:val="00C74A77"/>
    <w:rsid w:val="00C74B32"/>
    <w:rsid w:val="00C80075"/>
    <w:rsid w:val="00C9487E"/>
    <w:rsid w:val="00C9763F"/>
    <w:rsid w:val="00CA3C5F"/>
    <w:rsid w:val="00CB1E8D"/>
    <w:rsid w:val="00CD66D6"/>
    <w:rsid w:val="00CE027B"/>
    <w:rsid w:val="00D03602"/>
    <w:rsid w:val="00D05D00"/>
    <w:rsid w:val="00D07A96"/>
    <w:rsid w:val="00D1127E"/>
    <w:rsid w:val="00D11AB3"/>
    <w:rsid w:val="00D17E46"/>
    <w:rsid w:val="00D26148"/>
    <w:rsid w:val="00D26CEF"/>
    <w:rsid w:val="00D277C3"/>
    <w:rsid w:val="00D3398E"/>
    <w:rsid w:val="00D345CF"/>
    <w:rsid w:val="00D470E4"/>
    <w:rsid w:val="00D47323"/>
    <w:rsid w:val="00D47E76"/>
    <w:rsid w:val="00D518D4"/>
    <w:rsid w:val="00D51DF1"/>
    <w:rsid w:val="00D54DA6"/>
    <w:rsid w:val="00D74E7F"/>
    <w:rsid w:val="00D77C14"/>
    <w:rsid w:val="00DA631B"/>
    <w:rsid w:val="00DC1713"/>
    <w:rsid w:val="00DC625F"/>
    <w:rsid w:val="00DE43CC"/>
    <w:rsid w:val="00DF61E9"/>
    <w:rsid w:val="00E04D9D"/>
    <w:rsid w:val="00E245E9"/>
    <w:rsid w:val="00E441CE"/>
    <w:rsid w:val="00E53831"/>
    <w:rsid w:val="00E74475"/>
    <w:rsid w:val="00E909A1"/>
    <w:rsid w:val="00E96524"/>
    <w:rsid w:val="00EA60A5"/>
    <w:rsid w:val="00EB1A37"/>
    <w:rsid w:val="00EC34F2"/>
    <w:rsid w:val="00EC6244"/>
    <w:rsid w:val="00ED2916"/>
    <w:rsid w:val="00EF342E"/>
    <w:rsid w:val="00F03D5E"/>
    <w:rsid w:val="00F11F5D"/>
    <w:rsid w:val="00F242C0"/>
    <w:rsid w:val="00F32DB9"/>
    <w:rsid w:val="00F34A38"/>
    <w:rsid w:val="00F45694"/>
    <w:rsid w:val="00F54CDF"/>
    <w:rsid w:val="00F55C15"/>
    <w:rsid w:val="00F81AC3"/>
    <w:rsid w:val="00FA4BFE"/>
    <w:rsid w:val="00FC0040"/>
    <w:rsid w:val="00FC1310"/>
    <w:rsid w:val="00FC5E12"/>
    <w:rsid w:val="00FD020E"/>
    <w:rsid w:val="00FD33DC"/>
    <w:rsid w:val="00FD7459"/>
    <w:rsid w:val="00FE254F"/>
    <w:rsid w:val="00FE40CF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F42B"/>
  <w15:chartTrackingRefBased/>
  <w15:docId w15:val="{8BA117E0-1E45-47CD-90D9-77B06FBD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223"/>
  </w:style>
  <w:style w:type="paragraph" w:styleId="Footer">
    <w:name w:val="footer"/>
    <w:basedOn w:val="Normal"/>
    <w:link w:val="FooterChar"/>
    <w:uiPriority w:val="99"/>
    <w:unhideWhenUsed/>
    <w:rsid w:val="0084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223"/>
  </w:style>
  <w:style w:type="paragraph" w:styleId="BalloonText">
    <w:name w:val="Balloon Text"/>
    <w:basedOn w:val="Normal"/>
    <w:link w:val="BalloonTextChar"/>
    <w:uiPriority w:val="99"/>
    <w:semiHidden/>
    <w:unhideWhenUsed/>
    <w:rsid w:val="00445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12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35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1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swer1">
    <w:name w:val="answer1"/>
    <w:basedOn w:val="DefaultParagraphFont"/>
    <w:rsid w:val="0063684B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8275-6119-44D7-BB2C-5DE046FB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Mund, Kristin Marie</dc:creator>
  <cp:keywords/>
  <dc:description/>
  <cp:lastModifiedBy>Larsen, Kellie A</cp:lastModifiedBy>
  <cp:revision>2</cp:revision>
  <cp:lastPrinted>2023-04-05T19:16:00Z</cp:lastPrinted>
  <dcterms:created xsi:type="dcterms:W3CDTF">2024-05-07T18:59:00Z</dcterms:created>
  <dcterms:modified xsi:type="dcterms:W3CDTF">2024-05-07T18:59:00Z</dcterms:modified>
</cp:coreProperties>
</file>